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76" w:lineRule="auto"/>
        <w:ind w:left="420" w:leftChars="200"/>
        <w:rPr>
          <w:rFonts w:hint="eastAsia" w:ascii="仿宋_GB2312" w:eastAsia="仿宋_GB2312" w:cs="宋体"/>
          <w:color w:val="FF0000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zh-CN"/>
        </w:rPr>
        <w:t>注：1.</w:t>
      </w:r>
      <w:r>
        <w:rPr>
          <w:rFonts w:ascii="仿宋_GB2312" w:eastAsia="仿宋_GB2312" w:cs="宋体"/>
          <w:b/>
          <w:color w:val="0000FF"/>
          <w:kern w:val="0"/>
          <w:szCs w:val="21"/>
          <w:lang w:val="zh-CN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质量报告中涉及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的财务数据（如经费、工资）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时间节点均为201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12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日。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教学数据（学生、教师、专业、课程等）按学年计算，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采集时间段为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为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2019年8月1日-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。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其中，各类学生数统计时间截点与基本状态数据采集一致，截止到2020年9月30日，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教学数据中的学生数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不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包括2020届毕业生数，包括2020级新生数。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2</w:t>
      </w:r>
      <w:r>
        <w:rPr>
          <w:rFonts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凡标注“近三年”的项目，统计时间为201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年1月1日—201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年12月31日。请直接填写具体数字，不用填写计量单位。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3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各相关单位需填写表格中</w:t>
      </w:r>
      <w:r>
        <w:rPr>
          <w:rFonts w:hint="eastAsia" w:ascii="仿宋_GB2312" w:eastAsia="仿宋_GB2312" w:cs="宋体"/>
          <w:color w:val="0000FF"/>
          <w:kern w:val="0"/>
          <w:szCs w:val="21"/>
          <w:highlight w:val="yellow"/>
        </w:rPr>
        <w:t>标黄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数据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4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电子版表格请发送至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c</w:t>
      </w:r>
      <w:r>
        <w:rPr>
          <w:rFonts w:ascii="仿宋_GB2312" w:eastAsia="仿宋_GB2312" w:cs="宋体"/>
          <w:color w:val="0000FF"/>
          <w:kern w:val="0"/>
          <w:szCs w:val="21"/>
        </w:rPr>
        <w:t>fxy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jfzx</w:t>
      </w:r>
      <w:r>
        <w:rPr>
          <w:rFonts w:ascii="仿宋_GB2312" w:eastAsia="仿宋_GB2312" w:cs="宋体"/>
          <w:color w:val="0000FF"/>
          <w:kern w:val="0"/>
          <w:szCs w:val="21"/>
        </w:rPr>
        <w:t>@1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63</w:t>
      </w:r>
      <w:r>
        <w:rPr>
          <w:rFonts w:ascii="仿宋_GB2312" w:eastAsia="仿宋_GB2312" w:cs="宋体"/>
          <w:color w:val="0000FF"/>
          <w:kern w:val="0"/>
          <w:szCs w:val="21"/>
        </w:rPr>
        <w:t>.com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，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纸质版表格需签字盖章后送至逸夫理工楼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5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39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室，截止日期为20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年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10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月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8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日。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数据采集责任单位（盖章）：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图书馆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填报日期：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领导签字：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六、图书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（教务处、图书馆）</w:t>
      </w:r>
    </w:p>
    <w:tbl>
      <w:tblPr>
        <w:tblStyle w:val="3"/>
        <w:tblW w:w="489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275"/>
        <w:gridCol w:w="1457"/>
        <w:gridCol w:w="1513"/>
        <w:gridCol w:w="1363"/>
        <w:gridCol w:w="1602"/>
        <w:gridCol w:w="1594"/>
        <w:gridCol w:w="1655"/>
        <w:gridCol w:w="12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exact"/>
          <w:jc w:val="center"/>
        </w:trPr>
        <w:tc>
          <w:tcPr>
            <w:tcW w:w="377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年度</w:t>
            </w:r>
          </w:p>
        </w:tc>
        <w:tc>
          <w:tcPr>
            <w:tcW w:w="50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折合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在校生数</w:t>
            </w:r>
          </w:p>
        </w:tc>
        <w:tc>
          <w:tcPr>
            <w:tcW w:w="57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新增纸质图书   （册）</w:t>
            </w:r>
          </w:p>
        </w:tc>
        <w:tc>
          <w:tcPr>
            <w:tcW w:w="59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馆藏纸质图书    (万册)</w:t>
            </w:r>
          </w:p>
        </w:tc>
        <w:tc>
          <w:tcPr>
            <w:tcW w:w="53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生均纸质图书（册）</w:t>
            </w:r>
          </w:p>
        </w:tc>
        <w:tc>
          <w:tcPr>
            <w:tcW w:w="63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电子图书（册）</w:t>
            </w:r>
          </w:p>
        </w:tc>
        <w:tc>
          <w:tcPr>
            <w:tcW w:w="629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电子期刊（册）</w:t>
            </w:r>
          </w:p>
        </w:tc>
        <w:tc>
          <w:tcPr>
            <w:tcW w:w="65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电子图书、期刊合计（册）</w:t>
            </w:r>
          </w:p>
        </w:tc>
        <w:tc>
          <w:tcPr>
            <w:tcW w:w="491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spacing w:val="-16"/>
                <w:kern w:val="0"/>
                <w:sz w:val="20"/>
                <w:szCs w:val="20"/>
                <w:highlight w:val="yellow"/>
                <w:lang w:val="zh-CN"/>
              </w:rPr>
              <w:t>生均电子图书、期刊（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册</w:t>
            </w:r>
            <w:r>
              <w:rPr>
                <w:rFonts w:hint="eastAsia" w:ascii="宋体" w:cs="宋体"/>
                <w:b/>
                <w:bCs/>
                <w:color w:val="auto"/>
                <w:spacing w:val="-16"/>
                <w:kern w:val="0"/>
                <w:sz w:val="20"/>
                <w:szCs w:val="20"/>
                <w:highlight w:val="yellow"/>
                <w:lang w:val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7" w:type="pct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2019</w:t>
            </w:r>
          </w:p>
        </w:tc>
        <w:tc>
          <w:tcPr>
            <w:tcW w:w="50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7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9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3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32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2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5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1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auto" w:sz="8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ind w:hanging="19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ind w:hanging="19"/>
        <w:jc w:val="center"/>
        <w:rPr>
          <w:rFonts w:hint="eastAsia" w:ascii="宋体" w:cs="宋体"/>
          <w:color w:val="auto"/>
          <w:kern w:val="0"/>
          <w:sz w:val="20"/>
          <w:szCs w:val="20"/>
          <w:highlight w:val="none"/>
          <w:lang w:val="zh-CN"/>
        </w:rPr>
      </w:pPr>
    </w:p>
    <w:p>
      <w:pPr>
        <w:autoSpaceDE w:val="0"/>
        <w:autoSpaceDN w:val="0"/>
        <w:adjustRightInd w:val="0"/>
        <w:ind w:hanging="19"/>
        <w:jc w:val="center"/>
        <w:rPr>
          <w:rFonts w:hint="eastAsia" w:ascii="宋体" w:cs="宋体"/>
          <w:color w:val="auto"/>
          <w:kern w:val="0"/>
          <w:sz w:val="20"/>
          <w:szCs w:val="20"/>
          <w:highlight w:val="none"/>
          <w:lang w:val="zh-CN"/>
        </w:rPr>
      </w:pPr>
    </w:p>
    <w:p>
      <w:pPr>
        <w:autoSpaceDE w:val="0"/>
        <w:autoSpaceDN w:val="0"/>
        <w:adjustRightInd w:val="0"/>
        <w:spacing w:before="240" w:beforeLines="100" w:line="360" w:lineRule="auto"/>
        <w:ind w:firstLine="455" w:firstLineChars="216"/>
        <w:rPr>
          <w:rFonts w:hint="eastAsia" w:ascii="宋体" w:cs="宋体"/>
          <w:color w:val="auto"/>
          <w:kern w:val="0"/>
          <w:szCs w:val="21"/>
          <w:highlight w:val="none"/>
          <w:lang w:val="zh-CN"/>
        </w:rPr>
        <w:sectPr>
          <w:footerReference r:id="rId3" w:type="default"/>
          <w:pgSz w:w="15840" w:h="12240" w:orient="landscape"/>
          <w:pgMar w:top="1701" w:right="1701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  <w:r>
        <w:rPr>
          <w:rFonts w:hint="eastAsia" w:ascii="仿宋_GB2312" w:eastAsia="仿宋_GB2312" w:cs="宋体"/>
          <w:b/>
          <w:color w:val="auto"/>
          <w:kern w:val="0"/>
          <w:szCs w:val="21"/>
          <w:highlight w:val="none"/>
          <w:lang w:val="zh-CN"/>
        </w:rPr>
        <w:t>注：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质量报告中涉及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的财务数据（如经费、工资）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时间节点均为201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9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年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12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月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31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日；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en-US" w:eastAsia="zh-CN"/>
        </w:rPr>
        <w:t>教学数据（学生、教师、专业、课程等）按学年计算，为2019年8月1日至2020年7月31日。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数据的计算方法参照《教育部关于印发〈普通高等学校基本办学条件指标（试行）〉的通知》（教发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〔2004〕2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号文件）以及《教育部办公厅关于开展普通高等学校本科教学工作合格评估的通知》（教高厅</w:t>
      </w:r>
      <w:r>
        <w:rPr>
          <w:rFonts w:hint="eastAsia" w:ascii="仿宋_GB2312" w:eastAsia="仿宋_GB2312" w:cs="??_GB2312"/>
          <w:color w:val="auto"/>
          <w:kern w:val="0"/>
          <w:szCs w:val="21"/>
          <w:highlight w:val="none"/>
        </w:rPr>
        <w:t>〔2011〕2</w:t>
      </w:r>
      <w:r>
        <w:rPr>
          <w:rFonts w:hint="eastAsia" w:ascii="仿宋_GB2312" w:eastAsia="仿宋_GB2312" w:cs="宋体"/>
          <w:color w:val="auto"/>
          <w:kern w:val="0"/>
          <w:szCs w:val="21"/>
          <w:highlight w:val="none"/>
          <w:lang w:val="zh-CN"/>
        </w:rPr>
        <w:t>号文件）。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  <w:tab w:val="clear" w:pos="8306"/>
      </w:tabs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B5356"/>
    <w:rsid w:val="12F76C8C"/>
    <w:rsid w:val="3A0A223A"/>
    <w:rsid w:val="420775CF"/>
    <w:rsid w:val="501D6BF1"/>
    <w:rsid w:val="5C6A14CA"/>
    <w:rsid w:val="731F3D59"/>
    <w:rsid w:val="73FF7C1D"/>
    <w:rsid w:val="7F3B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HP-111</dc:creator>
  <cp:lastModifiedBy>潤雨</cp:lastModifiedBy>
  <dcterms:modified xsi:type="dcterms:W3CDTF">2020-10-02T01:50:44Z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